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Experiencia en proyectos</w:t>
      </w:r>
    </w:p>
    <w:p>
      <w:pPr>
        <w:widowControl/>
      </w:pPr>
      <w:r>
        <w:rPr>
          <w:sz w:val="18"/>
        </w:rPr>
        <w:t>Completa los campos. Añade filas y elimina los apartados que no necesites.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Periodo del proyecto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Proyecto y función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Contexto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Acciones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Resultados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Aprendizaje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61A64F23-C75F-48E3-9273-BB4276ECFA10}"/>
    <w:embedBold r:id="rIdBold" w:fontKey="{B78B6017-CB73-4A91-9CB9-8A213676CD85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experiencia en proyectos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